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077A">
      <w:pPr>
        <w:framePr w:h="1210" w:hSpace="10080" w:wrap="notBeside" w:vAnchor="text" w:hAnchor="margin" w:x="4340" w:y="1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810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077A">
      <w:pPr>
        <w:spacing w:line="1" w:lineRule="exact"/>
        <w:rPr>
          <w:sz w:val="2"/>
          <w:szCs w:val="2"/>
        </w:rPr>
      </w:pPr>
    </w:p>
    <w:p w:rsidR="00000000" w:rsidRDefault="00A8077A">
      <w:pPr>
        <w:framePr w:h="1210" w:hSpace="10080" w:wrap="notBeside" w:vAnchor="text" w:hAnchor="margin" w:x="4340" w:y="1"/>
        <w:rPr>
          <w:sz w:val="24"/>
          <w:szCs w:val="24"/>
        </w:rPr>
        <w:sectPr w:rsidR="00000000">
          <w:type w:val="continuous"/>
          <w:pgSz w:w="11909" w:h="16834"/>
          <w:pgMar w:top="1440" w:right="901" w:bottom="720" w:left="1365" w:header="720" w:footer="720" w:gutter="0"/>
          <w:cols w:space="720"/>
          <w:noEndnote/>
        </w:sectPr>
      </w:pPr>
    </w:p>
    <w:p w:rsidR="00000000" w:rsidRDefault="00A8077A">
      <w:pPr>
        <w:shd w:val="clear" w:color="auto" w:fill="FFFFFF"/>
        <w:spacing w:before="197" w:line="413" w:lineRule="exact"/>
        <w:ind w:left="2568" w:right="2597"/>
        <w:jc w:val="center"/>
      </w:pPr>
      <w:r>
        <w:rPr>
          <w:rFonts w:eastAsia="Times New Roman"/>
          <w:color w:val="000000"/>
          <w:spacing w:val="-3"/>
          <w:sz w:val="26"/>
          <w:szCs w:val="26"/>
        </w:rPr>
        <w:t xml:space="preserve">Дума Дальнегорского городского округа </w:t>
      </w:r>
      <w:r>
        <w:rPr>
          <w:rFonts w:eastAsia="Times New Roman"/>
          <w:color w:val="000000"/>
          <w:sz w:val="26"/>
          <w:szCs w:val="26"/>
        </w:rPr>
        <w:t>шестого созыва</w:t>
      </w:r>
    </w:p>
    <w:p w:rsidR="00000000" w:rsidRDefault="00A8077A">
      <w:pPr>
        <w:shd w:val="clear" w:color="auto" w:fill="FFFFFF"/>
        <w:spacing w:before="509"/>
        <w:ind w:right="19"/>
        <w:jc w:val="center"/>
      </w:pPr>
      <w:r>
        <w:rPr>
          <w:rFonts w:eastAsia="Times New Roman"/>
          <w:b/>
          <w:bCs/>
          <w:color w:val="000000"/>
          <w:spacing w:val="-3"/>
          <w:sz w:val="26"/>
          <w:szCs w:val="26"/>
        </w:rPr>
        <w:t>РЕШЕНИЕ</w:t>
      </w:r>
    </w:p>
    <w:p w:rsidR="00000000" w:rsidRDefault="00A8077A">
      <w:pPr>
        <w:shd w:val="clear" w:color="auto" w:fill="FFFFFF"/>
        <w:tabs>
          <w:tab w:val="left" w:pos="3907"/>
          <w:tab w:val="left" w:pos="7402"/>
        </w:tabs>
        <w:spacing w:before="298"/>
        <w:ind w:left="701"/>
      </w:pPr>
      <w:r>
        <w:rPr>
          <w:color w:val="000000"/>
          <w:spacing w:val="-14"/>
          <w:sz w:val="26"/>
          <w:szCs w:val="26"/>
        </w:rPr>
        <w:t xml:space="preserve">3 0 </w:t>
      </w:r>
      <w:r>
        <w:rPr>
          <w:rFonts w:eastAsia="Times New Roman"/>
          <w:color w:val="000000"/>
          <w:spacing w:val="-14"/>
          <w:sz w:val="26"/>
          <w:szCs w:val="26"/>
        </w:rPr>
        <w:t>июля 2015 г.</w:t>
      </w:r>
      <w:r>
        <w:rPr>
          <w:rFonts w:ascii="Arial" w:eastAsia="Times New Roman" w:cs="Arial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5"/>
          <w:sz w:val="26"/>
          <w:szCs w:val="26"/>
        </w:rPr>
        <w:t>г. Дальнегорск</w:t>
      </w:r>
      <w:r>
        <w:rPr>
          <w:rFonts w:ascii="Arial" w:eastAsia="Times New Roman" w:hAnsi="Arial" w:cs="Arial"/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14"/>
          <w:sz w:val="26"/>
          <w:szCs w:val="26"/>
        </w:rPr>
        <w:t>№ 3 93</w:t>
      </w:r>
    </w:p>
    <w:p w:rsidR="00000000" w:rsidRDefault="00A8077A">
      <w:pPr>
        <w:shd w:val="clear" w:color="auto" w:fill="FFFFFF"/>
        <w:spacing w:before="302" w:line="293" w:lineRule="exact"/>
        <w:ind w:right="3360"/>
      </w:pPr>
      <w:r>
        <w:rPr>
          <w:rFonts w:eastAsia="Times New Roman"/>
          <w:color w:val="000000"/>
          <w:sz w:val="26"/>
          <w:szCs w:val="26"/>
        </w:rPr>
        <w:t xml:space="preserve">Об обращении Думы Дальнегорского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городского округа к Губернатору Приморского края </w:t>
      </w:r>
      <w:r>
        <w:rPr>
          <w:rFonts w:eastAsia="Times New Roman"/>
          <w:color w:val="000000"/>
          <w:spacing w:val="-3"/>
          <w:sz w:val="26"/>
          <w:szCs w:val="26"/>
        </w:rPr>
        <w:t>Миклушевскому В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.В. и председателю Законодательного </w:t>
      </w:r>
      <w:r>
        <w:rPr>
          <w:rFonts w:eastAsia="Times New Roman"/>
          <w:color w:val="000000"/>
          <w:spacing w:val="-2"/>
          <w:sz w:val="26"/>
          <w:szCs w:val="26"/>
        </w:rPr>
        <w:t>Собрания Приморского края Горчакову В.В.</w:t>
      </w:r>
    </w:p>
    <w:p w:rsidR="00000000" w:rsidRDefault="00A8077A">
      <w:pPr>
        <w:shd w:val="clear" w:color="auto" w:fill="FFFFFF"/>
        <w:spacing w:before="264" w:line="302" w:lineRule="exact"/>
        <w:ind w:left="19" w:firstLine="691"/>
      </w:pPr>
      <w:r>
        <w:rPr>
          <w:rFonts w:eastAsia="Times New Roman"/>
          <w:color w:val="000000"/>
          <w:spacing w:val="-2"/>
          <w:sz w:val="26"/>
          <w:szCs w:val="26"/>
        </w:rPr>
        <w:t xml:space="preserve">Руководствуясь Федеральным законом Российской Федерации от 29.12.2012г. №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273-ФЗ «Об образовании в Российской Федерации», Уставом Дальнегорского </w:t>
      </w:r>
      <w:r>
        <w:rPr>
          <w:rFonts w:eastAsia="Times New Roman"/>
          <w:color w:val="000000"/>
          <w:sz w:val="26"/>
          <w:szCs w:val="26"/>
        </w:rPr>
        <w:t>городского округа, Дума Дальнегорс</w:t>
      </w:r>
      <w:r>
        <w:rPr>
          <w:rFonts w:eastAsia="Times New Roman"/>
          <w:color w:val="000000"/>
          <w:sz w:val="26"/>
          <w:szCs w:val="26"/>
        </w:rPr>
        <w:t>кого городского округа,</w:t>
      </w:r>
    </w:p>
    <w:p w:rsidR="00000000" w:rsidRDefault="00A8077A">
      <w:pPr>
        <w:shd w:val="clear" w:color="auto" w:fill="FFFFFF"/>
        <w:spacing w:before="298"/>
        <w:ind w:left="19"/>
      </w:pPr>
      <w:r>
        <w:rPr>
          <w:rFonts w:eastAsia="Times New Roman"/>
          <w:color w:val="000000"/>
          <w:spacing w:val="-3"/>
          <w:sz w:val="26"/>
          <w:szCs w:val="26"/>
        </w:rPr>
        <w:t>РЕШИЛА:</w:t>
      </w:r>
    </w:p>
    <w:p w:rsidR="00000000" w:rsidRDefault="00A8077A" w:rsidP="00A8077A">
      <w:pPr>
        <w:numPr>
          <w:ilvl w:val="0"/>
          <w:numId w:val="1"/>
        </w:numPr>
        <w:shd w:val="clear" w:color="auto" w:fill="FFFFFF"/>
        <w:tabs>
          <w:tab w:val="left" w:pos="739"/>
        </w:tabs>
        <w:spacing w:before="259" w:line="307" w:lineRule="exact"/>
        <w:ind w:left="739" w:hanging="346"/>
        <w:rPr>
          <w:color w:val="000000"/>
          <w:spacing w:val="-23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Принять обращение к Губернатору Приморского края Миклушевскому В.В. и председателю Законодательного Собрания Приморского края Горчакову В.В. </w:t>
      </w:r>
      <w:r>
        <w:rPr>
          <w:rFonts w:eastAsia="Times New Roman"/>
          <w:color w:val="000000"/>
          <w:sz w:val="26"/>
          <w:szCs w:val="26"/>
        </w:rPr>
        <w:t>(прилагается).</w:t>
      </w:r>
    </w:p>
    <w:p w:rsidR="00000000" w:rsidRDefault="00A8077A" w:rsidP="00A8077A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312" w:lineRule="exact"/>
        <w:ind w:left="739" w:hanging="346"/>
        <w:rPr>
          <w:color w:val="000000"/>
          <w:spacing w:val="-12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>Направить настоящее решение Губернатору Приморского края М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иклушевскому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В.В., председателю Законодательного Собрания Приморского края Горчакову </w:t>
      </w:r>
      <w:r>
        <w:rPr>
          <w:rFonts w:eastAsia="Times New Roman"/>
          <w:color w:val="000000"/>
          <w:sz w:val="26"/>
          <w:szCs w:val="26"/>
        </w:rPr>
        <w:t>В.В..</w:t>
      </w:r>
    </w:p>
    <w:p w:rsidR="00000000" w:rsidRDefault="00A8077A" w:rsidP="00A8077A">
      <w:pPr>
        <w:numPr>
          <w:ilvl w:val="0"/>
          <w:numId w:val="1"/>
        </w:numPr>
        <w:shd w:val="clear" w:color="auto" w:fill="FFFFFF"/>
        <w:tabs>
          <w:tab w:val="left" w:pos="739"/>
        </w:tabs>
        <w:spacing w:line="302" w:lineRule="exact"/>
        <w:ind w:left="739" w:hanging="346"/>
        <w:rPr>
          <w:color w:val="000000"/>
          <w:spacing w:val="-16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 xml:space="preserve">Направить настоящее решение представительным органам городских округов и муниципальных районов Приморского края с просьбой поддержать обращение </w:t>
      </w:r>
      <w:r>
        <w:rPr>
          <w:rFonts w:eastAsia="Times New Roman"/>
          <w:color w:val="000000"/>
          <w:sz w:val="26"/>
          <w:szCs w:val="26"/>
        </w:rPr>
        <w:t>Думы Дальнегорск</w:t>
      </w:r>
      <w:r>
        <w:rPr>
          <w:rFonts w:eastAsia="Times New Roman"/>
          <w:color w:val="000000"/>
          <w:sz w:val="26"/>
          <w:szCs w:val="26"/>
        </w:rPr>
        <w:t>ого городского округа.</w:t>
      </w:r>
    </w:p>
    <w:p w:rsidR="00000000" w:rsidRDefault="00A8077A" w:rsidP="00A8077A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02" w:lineRule="exact"/>
        <w:ind w:left="394"/>
        <w:rPr>
          <w:color w:val="000000"/>
          <w:spacing w:val="-11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Решение вступает в силу с момента его принятия.</w:t>
      </w:r>
    </w:p>
    <w:p w:rsidR="00000000" w:rsidRDefault="00A8077A" w:rsidP="00A8077A">
      <w:pPr>
        <w:numPr>
          <w:ilvl w:val="0"/>
          <w:numId w:val="1"/>
        </w:numPr>
        <w:shd w:val="clear" w:color="auto" w:fill="FFFFFF"/>
        <w:tabs>
          <w:tab w:val="left" w:pos="739"/>
        </w:tabs>
        <w:spacing w:after="82" w:line="317" w:lineRule="exact"/>
        <w:ind w:left="739" w:right="106" w:hanging="346"/>
        <w:jc w:val="both"/>
        <w:rPr>
          <w:color w:val="000000"/>
          <w:spacing w:val="-16"/>
          <w:sz w:val="26"/>
          <w:szCs w:val="26"/>
        </w:rPr>
      </w:pPr>
      <w:r>
        <w:rPr>
          <w:rFonts w:eastAsia="Times New Roman"/>
          <w:color w:val="000000"/>
          <w:spacing w:val="-2"/>
          <w:sz w:val="26"/>
          <w:szCs w:val="26"/>
        </w:rPr>
        <w:t xml:space="preserve">Контроль за исполнением настоящего решения возложить на комитет Думы по </w:t>
      </w:r>
      <w:r>
        <w:rPr>
          <w:rFonts w:eastAsia="Times New Roman"/>
          <w:color w:val="000000"/>
          <w:sz w:val="26"/>
          <w:szCs w:val="26"/>
        </w:rPr>
        <w:t>социальной политике (Лесков).</w:t>
      </w:r>
    </w:p>
    <w:p w:rsidR="00000000" w:rsidRDefault="00A8077A" w:rsidP="00A8077A">
      <w:pPr>
        <w:numPr>
          <w:ilvl w:val="0"/>
          <w:numId w:val="1"/>
        </w:numPr>
        <w:shd w:val="clear" w:color="auto" w:fill="FFFFFF"/>
        <w:tabs>
          <w:tab w:val="left" w:pos="739"/>
        </w:tabs>
        <w:spacing w:after="82" w:line="317" w:lineRule="exact"/>
        <w:ind w:left="739" w:right="106" w:hanging="346"/>
        <w:jc w:val="both"/>
        <w:rPr>
          <w:color w:val="000000"/>
          <w:spacing w:val="-16"/>
          <w:sz w:val="26"/>
          <w:szCs w:val="26"/>
        </w:rPr>
        <w:sectPr w:rsidR="00000000">
          <w:type w:val="continuous"/>
          <w:pgSz w:w="11909" w:h="16834"/>
          <w:pgMar w:top="1440" w:right="901" w:bottom="720" w:left="1365" w:header="720" w:footer="720" w:gutter="0"/>
          <w:cols w:space="60"/>
          <w:noEndnote/>
        </w:sectPr>
      </w:pPr>
    </w:p>
    <w:p w:rsidR="00000000" w:rsidRDefault="00A8077A">
      <w:pPr>
        <w:framePr w:h="2121" w:hSpace="10080" w:wrap="notBeside" w:vAnchor="text" w:hAnchor="margin" w:x="3399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43125" cy="1343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077A">
      <w:pPr>
        <w:framePr w:h="302" w:hRule="exact" w:hSpace="10080" w:wrap="notBeside" w:vAnchor="text" w:hAnchor="margin" w:x="3510" w:y="404"/>
        <w:shd w:val="clear" w:color="auto" w:fill="FFFFFF"/>
      </w:pPr>
      <w:r>
        <w:rPr>
          <w:i/>
          <w:iCs/>
          <w:color w:val="CAC7EA"/>
          <w:spacing w:val="-22"/>
          <w:sz w:val="26"/>
          <w:szCs w:val="26"/>
        </w:rPr>
        <w:t xml:space="preserve">(/ </w:t>
      </w:r>
      <w:r>
        <w:rPr>
          <w:rFonts w:eastAsia="Times New Roman"/>
          <w:color w:val="CAC7EA"/>
          <w:spacing w:val="-22"/>
          <w:sz w:val="26"/>
          <w:szCs w:val="26"/>
        </w:rPr>
        <w:t>о*'</w:t>
      </w:r>
    </w:p>
    <w:p w:rsidR="00000000" w:rsidRDefault="00A8077A">
      <w:pPr>
        <w:framePr w:w="8745" w:h="634" w:hRule="exact" w:hSpace="10080" w:wrap="notBeside" w:vAnchor="text" w:hAnchor="margin" w:x="59" w:y="807"/>
        <w:shd w:val="clear" w:color="auto" w:fill="FFFFFF"/>
      </w:pPr>
      <w:r>
        <w:rPr>
          <w:rFonts w:eastAsia="Times New Roman"/>
          <w:color w:val="000000"/>
          <w:spacing w:val="-1"/>
          <w:sz w:val="26"/>
          <w:szCs w:val="26"/>
        </w:rPr>
        <w:t>Председатель Думы</w:t>
      </w:r>
    </w:p>
    <w:p w:rsidR="00000000" w:rsidRDefault="00A8077A">
      <w:pPr>
        <w:framePr w:w="8745" w:h="634" w:hRule="exact" w:hSpace="10080" w:wrap="notBeside" w:vAnchor="text" w:hAnchor="margin" w:x="59" w:y="807"/>
        <w:shd w:val="clear" w:color="auto" w:fill="FFFFFF"/>
        <w:tabs>
          <w:tab w:val="left" w:pos="7032"/>
        </w:tabs>
        <w:ind w:left="5"/>
      </w:pPr>
      <w:r>
        <w:rPr>
          <w:rFonts w:eastAsia="Times New Roman"/>
          <w:color w:val="000000"/>
          <w:sz w:val="26"/>
          <w:szCs w:val="26"/>
        </w:rPr>
        <w:t xml:space="preserve">Дальнегорского городского округа      </w:t>
      </w:r>
      <w:r>
        <w:rPr>
          <w:rFonts w:eastAsia="Times New Roman"/>
          <w:color w:val="356DC0"/>
          <w:sz w:val="26"/>
          <w:szCs w:val="26"/>
          <w:lang w:val="en-US"/>
        </w:rPr>
        <w:t xml:space="preserve">V^^x </w:t>
      </w:r>
      <w:r>
        <w:rPr>
          <w:rFonts w:eastAsia="Times New Roman"/>
          <w:i/>
          <w:iCs/>
          <w:color w:val="90ABE6"/>
          <w:sz w:val="26"/>
          <w:szCs w:val="26"/>
        </w:rPr>
        <w:t>$уЙГ</w:t>
      </w:r>
      <w:r>
        <w:rPr>
          <w:rFonts w:ascii="Arial" w:eastAsia="Times New Roman" w:hAnsi="Arial" w:cs="Arial"/>
          <w:i/>
          <w:iCs/>
          <w:color w:val="90ABE6"/>
          <w:sz w:val="26"/>
          <w:szCs w:val="26"/>
        </w:rPr>
        <w:tab/>
      </w:r>
      <w:r>
        <w:rPr>
          <w:rFonts w:eastAsia="Times New Roman"/>
          <w:color w:val="000000"/>
          <w:spacing w:val="-3"/>
          <w:sz w:val="26"/>
          <w:szCs w:val="26"/>
        </w:rPr>
        <w:t>С.В. Артемьева</w:t>
      </w:r>
    </w:p>
    <w:p w:rsidR="00000000" w:rsidRDefault="00A8077A">
      <w:pPr>
        <w:spacing w:line="1" w:lineRule="exact"/>
        <w:rPr>
          <w:sz w:val="2"/>
          <w:szCs w:val="2"/>
        </w:rPr>
      </w:pPr>
    </w:p>
    <w:p w:rsidR="00000000" w:rsidRDefault="00A8077A">
      <w:pPr>
        <w:framePr w:w="8745" w:h="634" w:hRule="exact" w:hSpace="10080" w:wrap="notBeside" w:vAnchor="text" w:hAnchor="margin" w:x="59" w:y="807"/>
        <w:shd w:val="clear" w:color="auto" w:fill="FFFFFF"/>
        <w:tabs>
          <w:tab w:val="left" w:pos="7032"/>
        </w:tabs>
        <w:ind w:left="5"/>
        <w:sectPr w:rsidR="00000000">
          <w:type w:val="continuous"/>
          <w:pgSz w:w="11909" w:h="16834"/>
          <w:pgMar w:top="1440" w:right="901" w:bottom="720" w:left="1365" w:header="720" w:footer="720" w:gutter="0"/>
          <w:cols w:space="720"/>
          <w:noEndnote/>
        </w:sectPr>
      </w:pPr>
    </w:p>
    <w:p w:rsidR="00000000" w:rsidRDefault="00A8077A">
      <w:pPr>
        <w:shd w:val="clear" w:color="auto" w:fill="FFFFFF"/>
        <w:spacing w:line="293" w:lineRule="exact"/>
        <w:ind w:left="6125"/>
      </w:pPr>
      <w:r>
        <w:rPr>
          <w:rFonts w:eastAsia="Times New Roman"/>
          <w:color w:val="000000"/>
          <w:spacing w:val="-1"/>
          <w:sz w:val="26"/>
          <w:szCs w:val="26"/>
        </w:rPr>
        <w:lastRenderedPageBreak/>
        <w:t xml:space="preserve">Приложение к решению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Думы Дальнегорского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городского округа </w:t>
      </w:r>
      <w:r>
        <w:rPr>
          <w:rFonts w:eastAsia="Times New Roman"/>
          <w:color w:val="000000"/>
          <w:sz w:val="26"/>
          <w:szCs w:val="26"/>
        </w:rPr>
        <w:t>от 30 июля 2015г. №393</w:t>
      </w:r>
    </w:p>
    <w:p w:rsidR="00000000" w:rsidRDefault="00A8077A">
      <w:pPr>
        <w:shd w:val="clear" w:color="auto" w:fill="FFFFFF"/>
        <w:spacing w:before="322" w:line="293" w:lineRule="exact"/>
        <w:ind w:left="2645" w:right="2496" w:hanging="341"/>
      </w:pPr>
      <w:r>
        <w:rPr>
          <w:rFonts w:eastAsia="Times New Roman"/>
          <w:color w:val="000000"/>
          <w:spacing w:val="-4"/>
          <w:sz w:val="26"/>
          <w:szCs w:val="26"/>
        </w:rPr>
        <w:t>Уважаемый Владимир Владимир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ович! </w:t>
      </w:r>
      <w:r>
        <w:rPr>
          <w:rFonts w:eastAsia="Times New Roman"/>
          <w:color w:val="000000"/>
          <w:spacing w:val="-2"/>
          <w:sz w:val="26"/>
          <w:szCs w:val="26"/>
        </w:rPr>
        <w:t>Уважаемый Виктор Васильевич!</w:t>
      </w:r>
    </w:p>
    <w:p w:rsidR="00000000" w:rsidRDefault="00A8077A">
      <w:pPr>
        <w:shd w:val="clear" w:color="auto" w:fill="FFFFFF"/>
        <w:spacing w:before="269" w:line="317" w:lineRule="exact"/>
        <w:ind w:right="211" w:firstLine="686"/>
        <w:jc w:val="both"/>
      </w:pPr>
      <w:r>
        <w:rPr>
          <w:rFonts w:eastAsia="Times New Roman"/>
          <w:color w:val="000000"/>
          <w:sz w:val="26"/>
          <w:szCs w:val="26"/>
        </w:rPr>
        <w:t xml:space="preserve">В   Дальнегорском   городском   округе   уделяется   большое   внимание </w:t>
      </w:r>
      <w:r>
        <w:rPr>
          <w:rFonts w:eastAsia="Times New Roman"/>
          <w:color w:val="000000"/>
          <w:spacing w:val="-1"/>
          <w:sz w:val="26"/>
          <w:szCs w:val="26"/>
        </w:rPr>
        <w:t>безопасности обучающихся в образовательных учреждениях.</w:t>
      </w:r>
    </w:p>
    <w:p w:rsidR="00000000" w:rsidRDefault="00A8077A">
      <w:pPr>
        <w:shd w:val="clear" w:color="auto" w:fill="FFFFFF"/>
        <w:spacing w:line="298" w:lineRule="exact"/>
        <w:ind w:left="10" w:right="144" w:firstLine="696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 xml:space="preserve">Обеспечение безопасности образовательных учреждений Дальнегорского </w:t>
      </w:r>
      <w:r>
        <w:rPr>
          <w:rFonts w:eastAsia="Times New Roman"/>
          <w:color w:val="000000"/>
          <w:sz w:val="26"/>
          <w:szCs w:val="26"/>
        </w:rPr>
        <w:t>городского округа в том чи</w:t>
      </w:r>
      <w:r>
        <w:rPr>
          <w:rFonts w:eastAsia="Times New Roman"/>
          <w:color w:val="000000"/>
          <w:sz w:val="26"/>
          <w:szCs w:val="26"/>
        </w:rPr>
        <w:t>сле - пожарной, реализуется в рамках муниципальной программы «Защита населения территории от чрезвычайных ситуаций, обеспечение пожарной безопасности и профилактика терроризма и экстремизма на территории Дальнегорского городского округа на 2015-2019 годы»»</w:t>
      </w:r>
      <w:r>
        <w:rPr>
          <w:rFonts w:eastAsia="Times New Roman"/>
          <w:color w:val="000000"/>
          <w:sz w:val="26"/>
          <w:szCs w:val="26"/>
        </w:rPr>
        <w:t xml:space="preserve"> утвержденной постановлением администрации Дальнегорского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городского округа от 06.10.2014 года № 849-па. Реализация мероприятий, </w:t>
      </w:r>
      <w:r>
        <w:rPr>
          <w:rFonts w:eastAsia="Times New Roman"/>
          <w:color w:val="000000"/>
          <w:sz w:val="26"/>
          <w:szCs w:val="26"/>
        </w:rPr>
        <w:t>предусмотренных программой, призвана обеспечить, в том числе выполнение требований пожарной безопасности, устранение нарушений,</w:t>
      </w:r>
      <w:r>
        <w:rPr>
          <w:rFonts w:eastAsia="Times New Roman"/>
          <w:color w:val="000000"/>
          <w:sz w:val="26"/>
          <w:szCs w:val="26"/>
        </w:rPr>
        <w:t xml:space="preserve"> выявленных органом Госпожнадзора. Так за 2014,2015 год установлена автоматическая пожарная сигнализация (АУПС) и система оповещения о пожаре (СОУЭ) во всех дошкольных образовательных учреждениях.</w:t>
      </w:r>
    </w:p>
    <w:p w:rsidR="00000000" w:rsidRDefault="00A8077A">
      <w:pPr>
        <w:shd w:val="clear" w:color="auto" w:fill="FFFFFF"/>
        <w:spacing w:line="298" w:lineRule="exact"/>
        <w:ind w:left="77" w:right="91" w:firstLine="686"/>
        <w:jc w:val="both"/>
      </w:pPr>
      <w:r>
        <w:rPr>
          <w:rFonts w:eastAsia="Times New Roman"/>
          <w:color w:val="000000"/>
          <w:sz w:val="26"/>
          <w:szCs w:val="26"/>
        </w:rPr>
        <w:t>В 2015 году на проведение мероприятий по обеспечению безопа</w:t>
      </w:r>
      <w:r>
        <w:rPr>
          <w:rFonts w:eastAsia="Times New Roman"/>
          <w:color w:val="000000"/>
          <w:sz w:val="26"/>
          <w:szCs w:val="26"/>
        </w:rPr>
        <w:t xml:space="preserve">сности образовательных учреждений городского округа (в том числе </w:t>
      </w:r>
      <w:r>
        <w:rPr>
          <w:rFonts w:eastAsia="Times New Roman"/>
          <w:color w:val="331BAB"/>
          <w:sz w:val="26"/>
          <w:szCs w:val="26"/>
        </w:rPr>
        <w:t xml:space="preserve">- </w:t>
      </w:r>
      <w:r>
        <w:rPr>
          <w:rFonts w:eastAsia="Times New Roman"/>
          <w:color w:val="000000"/>
          <w:sz w:val="26"/>
          <w:szCs w:val="26"/>
        </w:rPr>
        <w:t xml:space="preserve">пожарной) предусмотрено финансирование в объеме 5 900,03 тысячи рублей, из них на образовательные учреждения, реализующие основную общеобразовательную программу дошкольного образования - 4 </w:t>
      </w:r>
      <w:r>
        <w:rPr>
          <w:rFonts w:eastAsia="Times New Roman"/>
          <w:color w:val="000000"/>
          <w:sz w:val="26"/>
          <w:szCs w:val="26"/>
        </w:rPr>
        <w:t>335,24 тысяч рублей, школы -1 407,20 тысячи рублей, учреждения дополнительного образования детей -</w:t>
      </w:r>
    </w:p>
    <w:p w:rsidR="00000000" w:rsidRDefault="00A8077A">
      <w:pPr>
        <w:shd w:val="clear" w:color="auto" w:fill="FFFFFF"/>
        <w:spacing w:before="5"/>
        <w:ind w:left="130"/>
      </w:pPr>
      <w:r>
        <w:rPr>
          <w:color w:val="000000"/>
          <w:spacing w:val="-3"/>
          <w:sz w:val="26"/>
          <w:szCs w:val="26"/>
        </w:rPr>
        <w:t xml:space="preserve">157,29 </w:t>
      </w:r>
      <w:r>
        <w:rPr>
          <w:rFonts w:eastAsia="Times New Roman"/>
          <w:color w:val="000000"/>
          <w:spacing w:val="-3"/>
          <w:sz w:val="26"/>
          <w:szCs w:val="26"/>
        </w:rPr>
        <w:t>тысяч рублей.</w:t>
      </w:r>
    </w:p>
    <w:p w:rsidR="00000000" w:rsidRDefault="00A8077A">
      <w:pPr>
        <w:shd w:val="clear" w:color="auto" w:fill="FFFFFF"/>
        <w:spacing w:line="312" w:lineRule="exact"/>
        <w:ind w:left="115" w:right="82" w:firstLine="701"/>
        <w:jc w:val="both"/>
      </w:pPr>
      <w:r>
        <w:rPr>
          <w:rFonts w:eastAsia="Times New Roman"/>
          <w:color w:val="000000"/>
          <w:sz w:val="26"/>
          <w:szCs w:val="26"/>
        </w:rPr>
        <w:t xml:space="preserve">Однако установленные требования пожарной безопасности в муниципальных образовательных учреждениях городского округа не </w:t>
      </w:r>
      <w:r>
        <w:rPr>
          <w:rFonts w:eastAsia="Times New Roman"/>
          <w:color w:val="000000"/>
          <w:spacing w:val="-1"/>
          <w:sz w:val="26"/>
          <w:szCs w:val="26"/>
        </w:rPr>
        <w:t>представляется во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зможным реализовать в полной мере в связи с недостаточным </w:t>
      </w:r>
      <w:r>
        <w:rPr>
          <w:rFonts w:eastAsia="Times New Roman"/>
          <w:color w:val="000000"/>
          <w:sz w:val="26"/>
          <w:szCs w:val="26"/>
        </w:rPr>
        <w:t>объемом финансовых средств.</w:t>
      </w:r>
    </w:p>
    <w:p w:rsidR="00000000" w:rsidRDefault="00A8077A">
      <w:pPr>
        <w:shd w:val="clear" w:color="auto" w:fill="FFFFFF"/>
        <w:spacing w:line="326" w:lineRule="exact"/>
        <w:ind w:left="134" w:right="62" w:firstLine="706"/>
        <w:jc w:val="both"/>
      </w:pPr>
      <w:r>
        <w:rPr>
          <w:rFonts w:eastAsia="Times New Roman"/>
          <w:color w:val="000000"/>
          <w:sz w:val="26"/>
          <w:szCs w:val="26"/>
        </w:rPr>
        <w:t>Основными мероприятиями, требующими значительных финансовых затрат, является установка фотолюминесцентных эвакуационных систем, противопожарных дверей и люков.</w:t>
      </w:r>
    </w:p>
    <w:p w:rsidR="00000000" w:rsidRDefault="00A8077A">
      <w:pPr>
        <w:shd w:val="clear" w:color="auto" w:fill="FFFFFF"/>
        <w:spacing w:line="307" w:lineRule="exact"/>
        <w:ind w:left="154" w:right="48" w:firstLine="696"/>
        <w:jc w:val="both"/>
      </w:pPr>
      <w:r>
        <w:rPr>
          <w:rFonts w:eastAsia="Times New Roman"/>
          <w:color w:val="000000"/>
          <w:sz w:val="26"/>
          <w:szCs w:val="26"/>
        </w:rPr>
        <w:t>Таким обра</w:t>
      </w:r>
      <w:r>
        <w:rPr>
          <w:rFonts w:eastAsia="Times New Roman"/>
          <w:color w:val="000000"/>
          <w:sz w:val="26"/>
          <w:szCs w:val="26"/>
        </w:rPr>
        <w:t>зом, на сегодняшний день для соблюдения обеспечения пожарной безопасности требуется порядка 27 миллионов 28 тысяч рублей, из</w:t>
      </w:r>
    </w:p>
    <w:p w:rsidR="00000000" w:rsidRDefault="00A8077A">
      <w:pPr>
        <w:shd w:val="clear" w:color="auto" w:fill="FFFFFF"/>
        <w:spacing w:before="10"/>
        <w:ind w:left="158"/>
      </w:pPr>
      <w:r>
        <w:rPr>
          <w:rFonts w:eastAsia="Times New Roman"/>
          <w:color w:val="000000"/>
          <w:spacing w:val="-7"/>
          <w:sz w:val="26"/>
          <w:szCs w:val="26"/>
        </w:rPr>
        <w:t>них:</w:t>
      </w:r>
    </w:p>
    <w:p w:rsidR="00000000" w:rsidRDefault="00A8077A">
      <w:pPr>
        <w:shd w:val="clear" w:color="auto" w:fill="FFFFFF"/>
        <w:tabs>
          <w:tab w:val="left" w:pos="1579"/>
        </w:tabs>
        <w:ind w:left="878"/>
      </w:pPr>
      <w:r>
        <w:rPr>
          <w:color w:val="000000"/>
          <w:spacing w:val="-19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для устранения нарушений, выявленных органом Госпожарнадзора</w:t>
      </w:r>
    </w:p>
    <w:p w:rsidR="00000000" w:rsidRDefault="00A8077A">
      <w:pPr>
        <w:shd w:val="clear" w:color="auto" w:fill="FFFFFF"/>
        <w:ind w:left="173"/>
      </w:pPr>
      <w:r>
        <w:rPr>
          <w:color w:val="000000"/>
          <w:spacing w:val="-1"/>
          <w:sz w:val="26"/>
          <w:szCs w:val="26"/>
        </w:rPr>
        <w:t xml:space="preserve">- 3 </w:t>
      </w:r>
      <w:r>
        <w:rPr>
          <w:rFonts w:eastAsia="Times New Roman"/>
          <w:color w:val="000000"/>
          <w:spacing w:val="-1"/>
          <w:sz w:val="26"/>
          <w:szCs w:val="26"/>
        </w:rPr>
        <w:t>миллиона 402 тысяч рублей;</w:t>
      </w:r>
    </w:p>
    <w:p w:rsidR="00000000" w:rsidRDefault="00A8077A">
      <w:pPr>
        <w:shd w:val="clear" w:color="auto" w:fill="FFFFFF"/>
        <w:tabs>
          <w:tab w:val="left" w:pos="1579"/>
        </w:tabs>
        <w:ind w:left="878"/>
      </w:pPr>
      <w:r>
        <w:rPr>
          <w:color w:val="000000"/>
          <w:spacing w:val="-9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для установки фотолюминесцен</w:t>
      </w:r>
      <w:r>
        <w:rPr>
          <w:rFonts w:eastAsia="Times New Roman"/>
          <w:color w:val="000000"/>
          <w:sz w:val="26"/>
          <w:szCs w:val="26"/>
        </w:rPr>
        <w:t>тных эвакуационных систем - 19</w:t>
      </w:r>
    </w:p>
    <w:p w:rsidR="00000000" w:rsidRDefault="00A8077A">
      <w:pPr>
        <w:shd w:val="clear" w:color="auto" w:fill="FFFFFF"/>
        <w:ind w:left="178"/>
      </w:pPr>
      <w:r>
        <w:rPr>
          <w:rFonts w:eastAsia="Times New Roman"/>
          <w:color w:val="000000"/>
          <w:spacing w:val="-1"/>
          <w:sz w:val="26"/>
          <w:szCs w:val="26"/>
        </w:rPr>
        <w:t>миллионов 905 тысяч рублей;</w:t>
      </w:r>
    </w:p>
    <w:p w:rsidR="00000000" w:rsidRDefault="00A8077A">
      <w:pPr>
        <w:shd w:val="clear" w:color="auto" w:fill="FFFFFF"/>
        <w:tabs>
          <w:tab w:val="left" w:pos="1579"/>
        </w:tabs>
        <w:ind w:left="878"/>
      </w:pPr>
      <w:r>
        <w:rPr>
          <w:color w:val="000000"/>
          <w:spacing w:val="-1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для установки противопожарных дверей и люков -2 миллиона 482</w:t>
      </w:r>
    </w:p>
    <w:p w:rsidR="00000000" w:rsidRDefault="00A8077A">
      <w:pPr>
        <w:shd w:val="clear" w:color="auto" w:fill="FFFFFF"/>
        <w:ind w:left="182"/>
      </w:pPr>
      <w:r>
        <w:rPr>
          <w:rFonts w:eastAsia="Times New Roman"/>
          <w:color w:val="000000"/>
          <w:spacing w:val="-2"/>
          <w:sz w:val="26"/>
          <w:szCs w:val="26"/>
        </w:rPr>
        <w:t>тысячи рублей;</w:t>
      </w:r>
    </w:p>
    <w:p w:rsidR="00000000" w:rsidRDefault="00A8077A">
      <w:pPr>
        <w:shd w:val="clear" w:color="auto" w:fill="FFFFFF"/>
        <w:tabs>
          <w:tab w:val="left" w:pos="1579"/>
        </w:tabs>
        <w:ind w:left="878"/>
      </w:pPr>
      <w:r>
        <w:rPr>
          <w:color w:val="000000"/>
          <w:spacing w:val="-7"/>
          <w:sz w:val="26"/>
          <w:szCs w:val="26"/>
        </w:rPr>
        <w:t>4)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>текущее содержание, испытание пожарных кранов и рукавов - 1</w:t>
      </w:r>
    </w:p>
    <w:p w:rsidR="00000000" w:rsidRDefault="00A8077A">
      <w:pPr>
        <w:shd w:val="clear" w:color="auto" w:fill="FFFFFF"/>
        <w:ind w:left="197"/>
      </w:pPr>
      <w:r>
        <w:rPr>
          <w:rFonts w:eastAsia="Times New Roman"/>
          <w:color w:val="000000"/>
          <w:spacing w:val="-1"/>
          <w:sz w:val="26"/>
          <w:szCs w:val="26"/>
        </w:rPr>
        <w:t>миллион 240 тысяч рублей.</w:t>
      </w:r>
    </w:p>
    <w:p w:rsidR="00000000" w:rsidRDefault="00A8077A">
      <w:pPr>
        <w:shd w:val="clear" w:color="auto" w:fill="FFFFFF"/>
        <w:ind w:left="902"/>
      </w:pPr>
      <w:r>
        <w:rPr>
          <w:rFonts w:eastAsia="Times New Roman"/>
          <w:color w:val="000000"/>
          <w:sz w:val="26"/>
          <w:szCs w:val="26"/>
        </w:rPr>
        <w:t>Выполнение указанных мероприя</w:t>
      </w:r>
      <w:r>
        <w:rPr>
          <w:rFonts w:eastAsia="Times New Roman"/>
          <w:color w:val="000000"/>
          <w:sz w:val="26"/>
          <w:szCs w:val="26"/>
        </w:rPr>
        <w:t>тий исключительно за счет средств</w:t>
      </w:r>
    </w:p>
    <w:p w:rsidR="00000000" w:rsidRDefault="00A8077A">
      <w:pPr>
        <w:shd w:val="clear" w:color="auto" w:fill="FFFFFF"/>
        <w:ind w:left="902"/>
        <w:sectPr w:rsidR="00000000">
          <w:pgSz w:w="11909" w:h="16834"/>
          <w:pgMar w:top="958" w:right="920" w:bottom="360" w:left="1869" w:header="720" w:footer="720" w:gutter="0"/>
          <w:cols w:space="60"/>
          <w:noEndnote/>
        </w:sectPr>
      </w:pPr>
    </w:p>
    <w:p w:rsidR="00000000" w:rsidRDefault="00A8077A">
      <w:pPr>
        <w:shd w:val="clear" w:color="auto" w:fill="FFFFFF"/>
        <w:spacing w:line="293" w:lineRule="exact"/>
        <w:ind w:left="14"/>
      </w:pPr>
      <w:r>
        <w:rPr>
          <w:rFonts w:eastAsia="Times New Roman"/>
          <w:color w:val="000000"/>
          <w:spacing w:val="-1"/>
          <w:sz w:val="26"/>
          <w:szCs w:val="26"/>
        </w:rPr>
        <w:lastRenderedPageBreak/>
        <w:t>бюджета Дальнегорского городского округа не представляется возможным.</w:t>
      </w:r>
    </w:p>
    <w:p w:rsidR="00000000" w:rsidRDefault="00A8077A">
      <w:pPr>
        <w:shd w:val="clear" w:color="auto" w:fill="FFFFFF"/>
        <w:spacing w:line="293" w:lineRule="exact"/>
        <w:ind w:firstLine="701"/>
        <w:jc w:val="both"/>
      </w:pPr>
      <w:r>
        <w:rPr>
          <w:rFonts w:eastAsia="Times New Roman"/>
          <w:color w:val="000000"/>
          <w:sz w:val="26"/>
          <w:szCs w:val="26"/>
        </w:rPr>
        <w:t>В соответствии со статьей 18 Федерального закона от 21.12.1994 № 69-ФЗ «О пожарной безопасности» к полномочиям органов государств</w:t>
      </w:r>
      <w:r>
        <w:rPr>
          <w:rFonts w:eastAsia="Times New Roman"/>
          <w:color w:val="000000"/>
          <w:sz w:val="26"/>
          <w:szCs w:val="26"/>
        </w:rPr>
        <w:t>енной власти субъектов Российской Федерации в области пожарной безопасности относится разработка, организация выполнения и финансирование региональных целевых программ, а также осуществление в пределах компетенции социального и экономического стимулировани</w:t>
      </w:r>
      <w:r>
        <w:rPr>
          <w:rFonts w:eastAsia="Times New Roman"/>
          <w:color w:val="000000"/>
          <w:sz w:val="26"/>
          <w:szCs w:val="26"/>
        </w:rPr>
        <w:t>я, обеспечения пожарной безопасности, в том числе производства и закупок пожарно-технической продукции.</w:t>
      </w:r>
    </w:p>
    <w:p w:rsidR="00A8077A" w:rsidRDefault="00A8077A">
      <w:pPr>
        <w:shd w:val="clear" w:color="auto" w:fill="FFFFFF"/>
        <w:spacing w:before="5" w:line="293" w:lineRule="exact"/>
        <w:ind w:left="5" w:firstLine="701"/>
        <w:jc w:val="both"/>
      </w:pPr>
      <w:r>
        <w:rPr>
          <w:rFonts w:eastAsia="Times New Roman"/>
          <w:color w:val="000000"/>
          <w:sz w:val="26"/>
          <w:szCs w:val="26"/>
        </w:rPr>
        <w:t>Учитывая вышеизложенное, просим Вас рассмотреть возможность принятия краевой программы, одной из задач которой будет являться обеспечение пожарной безоп</w:t>
      </w:r>
      <w:r>
        <w:rPr>
          <w:rFonts w:eastAsia="Times New Roman"/>
          <w:color w:val="000000"/>
          <w:sz w:val="26"/>
          <w:szCs w:val="26"/>
        </w:rPr>
        <w:t>асности и противопожарной защиты образовательных учреждений муниципальных образований Приморского края с включением в эту программу установку фото люминесцентных эвакуационных систем и противопожарных дверей и люков.</w:t>
      </w:r>
    </w:p>
    <w:sectPr w:rsidR="00A8077A">
      <w:pgSz w:w="11909" w:h="16834"/>
      <w:pgMar w:top="1440" w:right="939" w:bottom="720" w:left="20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773"/>
    <w:multiLevelType w:val="singleLevel"/>
    <w:tmpl w:val="948AED6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7A"/>
    <w:rsid w:val="00A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7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</cp:revision>
  <dcterms:created xsi:type="dcterms:W3CDTF">2015-08-14T01:47:00Z</dcterms:created>
  <dcterms:modified xsi:type="dcterms:W3CDTF">2015-08-14T01:47:00Z</dcterms:modified>
</cp:coreProperties>
</file>